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1071" w:rsidRDefault="00E752D0">
      <w:pPr>
        <w:pStyle w:val="Body"/>
      </w:pPr>
      <w:r>
        <w:rPr>
          <w:noProof/>
        </w:rPr>
        <w:drawing>
          <wp:anchor distT="57150" distB="57150" distL="57150" distR="57150" simplePos="0" relativeHeight="251659264" behindDoc="0" locked="0" layoutInCell="1" allowOverlap="1">
            <wp:simplePos x="0" y="0"/>
            <wp:positionH relativeFrom="column">
              <wp:posOffset>-404743</wp:posOffset>
            </wp:positionH>
            <wp:positionV relativeFrom="page">
              <wp:posOffset>346839</wp:posOffset>
            </wp:positionV>
            <wp:extent cx="4121785" cy="1068070"/>
            <wp:effectExtent l="0" t="0" r="0" b="0"/>
            <wp:wrapSquare wrapText="bothSides" distT="57150" distB="57150" distL="57150" distR="57150"/>
            <wp:docPr id="1073741825" name="officeArt object" descr="A picture containing table&#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5" name="A picture containing tableDescription automatically generated" descr="A picture containing tableDescription automatically generated"/>
                    <pic:cNvPicPr>
                      <a:picLocks noChangeAspect="1"/>
                    </pic:cNvPicPr>
                  </pic:nvPicPr>
                  <pic:blipFill>
                    <a:blip r:embed="rId6">
                      <a:extLst/>
                    </a:blip>
                    <a:stretch>
                      <a:fillRect/>
                    </a:stretch>
                  </pic:blipFill>
                  <pic:spPr>
                    <a:xfrm>
                      <a:off x="0" y="0"/>
                      <a:ext cx="4121785" cy="1068070"/>
                    </a:xfrm>
                    <a:prstGeom prst="rect">
                      <a:avLst/>
                    </a:prstGeom>
                    <a:ln w="12700" cap="flat">
                      <a:noFill/>
                      <a:miter lim="400000"/>
                    </a:ln>
                    <a:effectLst/>
                  </pic:spPr>
                </pic:pic>
              </a:graphicData>
            </a:graphic>
          </wp:anchor>
        </w:drawing>
      </w:r>
    </w:p>
    <w:p w:rsidR="00791071" w:rsidRDefault="00791071">
      <w:pPr>
        <w:pStyle w:val="Body"/>
      </w:pPr>
    </w:p>
    <w:p w:rsidR="00791071" w:rsidRDefault="00791071">
      <w:pPr>
        <w:pStyle w:val="Body"/>
      </w:pPr>
    </w:p>
    <w:p w:rsidR="00791071" w:rsidRDefault="00791071">
      <w:pPr>
        <w:pStyle w:val="Body"/>
      </w:pPr>
    </w:p>
    <w:p w:rsidR="00791071" w:rsidRDefault="00BC690B">
      <w:pPr>
        <w:pStyle w:val="Heading2"/>
        <w:rPr>
          <w:b/>
          <w:bCs/>
          <w:color w:val="E64626"/>
          <w:sz w:val="44"/>
          <w:szCs w:val="44"/>
          <w:u w:color="E64626"/>
        </w:rPr>
      </w:pPr>
      <w:r>
        <w:rPr>
          <w:b/>
          <w:bCs/>
          <w:color w:val="E64626"/>
          <w:sz w:val="44"/>
          <w:szCs w:val="44"/>
          <w:u w:color="E64626"/>
        </w:rPr>
        <w:t>Primary Source Analysis</w:t>
      </w:r>
      <w:r w:rsidR="00E752D0">
        <w:rPr>
          <w:b/>
          <w:bCs/>
          <w:color w:val="E64626"/>
          <w:sz w:val="44"/>
          <w:szCs w:val="44"/>
          <w:u w:color="E64626"/>
        </w:rPr>
        <w:t xml:space="preserve"> </w:t>
      </w:r>
      <w:r w:rsidR="00E752D0">
        <w:rPr>
          <w:b/>
          <w:bCs/>
          <w:color w:val="E64626"/>
          <w:sz w:val="44"/>
          <w:szCs w:val="44"/>
          <w:u w:color="E64626"/>
        </w:rPr>
        <w:br/>
      </w:r>
      <w:r>
        <w:rPr>
          <w:b/>
          <w:bCs/>
          <w:color w:val="E64626"/>
          <w:sz w:val="44"/>
          <w:szCs w:val="44"/>
          <w:u w:color="E64626"/>
        </w:rPr>
        <w:t>Cuneiform Tablet NM44.18</w:t>
      </w:r>
    </w:p>
    <w:p w:rsidR="00791071" w:rsidRDefault="00E752D0">
      <w:pPr>
        <w:pStyle w:val="Body"/>
      </w:pPr>
      <w:r>
        <w:rPr>
          <w:rFonts w:eastAsia="Arial Unicode MS" w:cs="Arial Unicode MS"/>
          <w:sz w:val="36"/>
          <w:szCs w:val="36"/>
          <w:lang w:val="en-US"/>
        </w:rPr>
        <w:t xml:space="preserve">Transcription </w:t>
      </w:r>
      <w:r>
        <w:rPr>
          <w:sz w:val="36"/>
          <w:szCs w:val="36"/>
          <w:lang w:val="en-US"/>
        </w:rPr>
        <w:br/>
      </w:r>
    </w:p>
    <w:p w:rsidR="00791071" w:rsidRDefault="00BC690B">
      <w:pPr>
        <w:pStyle w:val="Body"/>
      </w:pPr>
      <w:r>
        <w:rPr>
          <w:rFonts w:eastAsia="Arial Unicode MS" w:cs="Arial Unicode MS"/>
          <w:lang w:val="en-US"/>
        </w:rPr>
        <w:t>Written and S</w:t>
      </w:r>
      <w:r w:rsidR="00E752D0">
        <w:rPr>
          <w:rFonts w:eastAsia="Arial Unicode MS" w:cs="Arial Unicode MS"/>
          <w:lang w:val="en-US"/>
        </w:rPr>
        <w:t xml:space="preserve">poken by: </w:t>
      </w:r>
      <w:r>
        <w:rPr>
          <w:rFonts w:eastAsia="Arial Unicode MS" w:cs="Arial Unicode MS"/>
          <w:lang w:val="en-US"/>
        </w:rPr>
        <w:t>Sareeta Zaid</w:t>
      </w:r>
    </w:p>
    <w:p w:rsidR="00791071" w:rsidRDefault="00BC690B">
      <w:pPr>
        <w:pStyle w:val="Body"/>
      </w:pPr>
      <w:r>
        <w:rPr>
          <w:rFonts w:eastAsia="Arial Unicode MS" w:cs="Arial Unicode MS"/>
          <w:lang w:val="en-US"/>
        </w:rPr>
        <w:t xml:space="preserve">Duration: </w:t>
      </w:r>
      <w:r w:rsidR="002209A7">
        <w:rPr>
          <w:rFonts w:eastAsia="Arial Unicode MS" w:cs="Arial Unicode MS"/>
          <w:lang w:val="en-US"/>
        </w:rPr>
        <w:t>2:11 minutes</w:t>
      </w:r>
      <w:bookmarkStart w:id="0" w:name="_GoBack"/>
      <w:bookmarkEnd w:id="0"/>
    </w:p>
    <w:p w:rsidR="00791071" w:rsidRDefault="00791071">
      <w:pPr>
        <w:pStyle w:val="Body"/>
        <w:rPr>
          <w:lang w:val="en-US"/>
        </w:rPr>
      </w:pPr>
    </w:p>
    <w:p w:rsidR="00791071" w:rsidRDefault="00E752D0">
      <w:pPr>
        <w:pStyle w:val="Body"/>
        <w:tabs>
          <w:tab w:val="left" w:pos="2758"/>
        </w:tabs>
      </w:pPr>
      <w:r>
        <w:rPr>
          <w:noProof/>
          <w:sz w:val="24"/>
          <w:szCs w:val="24"/>
        </w:rPr>
        <mc:AlternateContent>
          <mc:Choice Requires="wps">
            <w:drawing>
              <wp:anchor distT="0" distB="0" distL="0" distR="0" simplePos="0" relativeHeight="251660288" behindDoc="0" locked="0" layoutInCell="1" allowOverlap="1">
                <wp:simplePos x="0" y="0"/>
                <wp:positionH relativeFrom="column">
                  <wp:posOffset>-16827</wp:posOffset>
                </wp:positionH>
                <wp:positionV relativeFrom="line">
                  <wp:posOffset>88582</wp:posOffset>
                </wp:positionV>
                <wp:extent cx="6307455" cy="0"/>
                <wp:effectExtent l="0" t="0" r="0" b="0"/>
                <wp:wrapNone/>
                <wp:docPr id="1073741826" name="officeArt object" descr="Straight Arrow Connector 2"/>
                <wp:cNvGraphicFramePr/>
                <a:graphic xmlns:a="http://schemas.openxmlformats.org/drawingml/2006/main">
                  <a:graphicData uri="http://schemas.microsoft.com/office/word/2010/wordprocessingShape">
                    <wps:wsp>
                      <wps:cNvCnPr/>
                      <wps:spPr>
                        <a:xfrm>
                          <a:off x="0" y="0"/>
                          <a:ext cx="6307455" cy="0"/>
                        </a:xfrm>
                        <a:prstGeom prst="line">
                          <a:avLst/>
                        </a:prstGeom>
                        <a:noFill/>
                        <a:ln w="9525" cap="flat">
                          <a:solidFill>
                            <a:srgbClr val="000000"/>
                          </a:solidFill>
                          <a:prstDash val="solid"/>
                          <a:round/>
                        </a:ln>
                        <a:effectLst/>
                      </wps:spPr>
                      <wps:bodyPr/>
                    </wps:wsp>
                  </a:graphicData>
                </a:graphic>
              </wp:anchor>
            </w:drawing>
          </mc:Choice>
          <mc:Fallback>
            <w:pict>
              <v:line id="_x0000_s1026" style="visibility:visible;position:absolute;margin-left:-1.3pt;margin-top:7.0pt;width:496.6pt;height:0.0pt;z-index:251660288;mso-position-horizontal:absolute;mso-position-horizontal-relative:text;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none" side="bothSides" anchorx="text"/>
              </v:line>
            </w:pict>
          </mc:Fallback>
        </mc:AlternateContent>
      </w:r>
    </w:p>
    <w:p w:rsidR="00791071" w:rsidRDefault="00791071">
      <w:pPr>
        <w:pStyle w:val="Body"/>
        <w:rPr>
          <w:sz w:val="24"/>
          <w:szCs w:val="24"/>
        </w:rPr>
      </w:pPr>
    </w:p>
    <w:p w:rsidR="00BC690B" w:rsidRDefault="00BC690B" w:rsidP="00BC690B">
      <w:r>
        <w:t>This ceramic clay tablet is inscribed with cuneiform, the ancient Sumerian writing that is the first known writing system. The text lists one ox, 19 sheep, one lamb and 4 goats received from the temple herds of Abba-</w:t>
      </w:r>
      <w:proofErr w:type="spellStart"/>
      <w:r>
        <w:t>Shagga</w:t>
      </w:r>
      <w:proofErr w:type="spellEnd"/>
      <w:r>
        <w:t xml:space="preserve"> for the </w:t>
      </w:r>
      <w:proofErr w:type="spellStart"/>
      <w:r>
        <w:t>Akitu</w:t>
      </w:r>
      <w:proofErr w:type="spellEnd"/>
      <w:r>
        <w:t xml:space="preserve"> feast in the month of Adar, from the governor of </w:t>
      </w:r>
      <w:proofErr w:type="spellStart"/>
      <w:r>
        <w:t>Adab</w:t>
      </w:r>
      <w:proofErr w:type="spellEnd"/>
      <w:r>
        <w:t xml:space="preserve">. </w:t>
      </w:r>
    </w:p>
    <w:p w:rsidR="00BC690B" w:rsidRDefault="00BC690B" w:rsidP="00BC690B"/>
    <w:p w:rsidR="00BC690B" w:rsidRDefault="00BC690B" w:rsidP="00BC690B">
      <w:proofErr w:type="spellStart"/>
      <w:r>
        <w:t>Akitu</w:t>
      </w:r>
      <w:proofErr w:type="spellEnd"/>
      <w:r>
        <w:t xml:space="preserve"> was a spring festival in the ancient Near East, its name derives from the Sumerian word for ‘barley’. The festival took place in the month of Adar in the ancient Babylonian calendar, around March, and marked the sowing of barley. This herd was sent from the governor of </w:t>
      </w:r>
      <w:proofErr w:type="spellStart"/>
      <w:r>
        <w:t>Adab</w:t>
      </w:r>
      <w:proofErr w:type="spellEnd"/>
      <w:r>
        <w:t xml:space="preserve">, an ancient city located between </w:t>
      </w:r>
      <w:proofErr w:type="spellStart"/>
      <w:r>
        <w:t>Tello</w:t>
      </w:r>
      <w:proofErr w:type="spellEnd"/>
      <w:r>
        <w:t xml:space="preserve"> and Nippur, now known by the modern name of </w:t>
      </w:r>
      <w:proofErr w:type="spellStart"/>
      <w:r>
        <w:t>Bismaya</w:t>
      </w:r>
      <w:proofErr w:type="spellEnd"/>
      <w:r>
        <w:t xml:space="preserve"> in Iraq. </w:t>
      </w:r>
    </w:p>
    <w:p w:rsidR="00BC690B" w:rsidRDefault="00BC690B" w:rsidP="00BC690B"/>
    <w:p w:rsidR="00BC690B" w:rsidRDefault="00BC690B" w:rsidP="00BC690B">
      <w:r>
        <w:t xml:space="preserve">The tablet was found in Iraq, although the exact location is unknown, and is from the reign of Bur-Sin, King of Ur, who ruled from 1831 to 1811 BCE in the First Dynasty of </w:t>
      </w:r>
      <w:proofErr w:type="spellStart"/>
      <w:r>
        <w:t>Isin</w:t>
      </w:r>
      <w:proofErr w:type="spellEnd"/>
      <w:r>
        <w:t xml:space="preserve">. During his reign power was held in the religious </w:t>
      </w:r>
      <w:proofErr w:type="spellStart"/>
      <w:r>
        <w:t>centres</w:t>
      </w:r>
      <w:proofErr w:type="spellEnd"/>
      <w:r>
        <w:t xml:space="preserve"> of Nippur and Ur. The </w:t>
      </w:r>
      <w:proofErr w:type="spellStart"/>
      <w:r>
        <w:t>Isin</w:t>
      </w:r>
      <w:proofErr w:type="spellEnd"/>
      <w:r>
        <w:t xml:space="preserve"> dynasty is named for the archaeological site of </w:t>
      </w:r>
      <w:proofErr w:type="spellStart"/>
      <w:r>
        <w:t>Isin</w:t>
      </w:r>
      <w:proofErr w:type="spellEnd"/>
      <w:r>
        <w:t xml:space="preserve"> in Iraq, which is just south of Nippur. The dates of the reign of Bur-Sin are known from the Sumerian King List, which reached its final form in this period. The Sumerian King List is an ancient text written in Sumerian cuneiform that lists the kings of Sumer and surrounding dynasties, with their reign lengths and the locations of their rule. The kings are sequentially listed, although evidence suggests there were multiple kings at the same time who had power over different city states in ancient Sumer. The final version of the list was used by rulers of the </w:t>
      </w:r>
      <w:proofErr w:type="spellStart"/>
      <w:r>
        <w:t>Isin</w:t>
      </w:r>
      <w:proofErr w:type="spellEnd"/>
      <w:r>
        <w:t xml:space="preserve"> Dynasty to </w:t>
      </w:r>
      <w:proofErr w:type="spellStart"/>
      <w:r>
        <w:t>legitimise</w:t>
      </w:r>
      <w:proofErr w:type="spellEnd"/>
      <w:r>
        <w:t xml:space="preserve"> their power while they competed with nearby city states for supremacy in the region.</w:t>
      </w:r>
    </w:p>
    <w:p w:rsidR="00BC690B" w:rsidRDefault="00BC690B" w:rsidP="00BC690B"/>
    <w:sectPr w:rsidR="00BC690B">
      <w:footerReference w:type="default" r:id="rId7"/>
      <w:pgSz w:w="11900" w:h="16820"/>
      <w:pgMar w:top="1440" w:right="1797" w:bottom="1440" w:left="1797"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3171" w:rsidRDefault="00273171">
      <w:r>
        <w:separator/>
      </w:r>
    </w:p>
  </w:endnote>
  <w:endnote w:type="continuationSeparator" w:id="0">
    <w:p w:rsidR="00273171" w:rsidRDefault="002731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Tw Cen MT">
    <w:panose1 w:val="020B0602020104020603"/>
    <w:charset w:val="00"/>
    <w:family w:val="swiss"/>
    <w:pitch w:val="variable"/>
    <w:sig w:usb0="00000007" w:usb1="00000000" w:usb2="00000000" w:usb3="00000000" w:csb0="00000003" w:csb1="00000000"/>
  </w:font>
  <w:font w:name="Helvetica Neue">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071" w:rsidRDefault="00E752D0">
    <w:pPr>
      <w:pStyle w:val="Footer"/>
      <w:tabs>
        <w:tab w:val="clear" w:pos="8640"/>
        <w:tab w:val="right" w:pos="8286"/>
      </w:tabs>
      <w:jc w:val="right"/>
      <w:rPr>
        <w:sz w:val="18"/>
        <w:szCs w:val="18"/>
      </w:rPr>
    </w:pPr>
    <w:r>
      <w:rPr>
        <w:sz w:val="18"/>
        <w:szCs w:val="18"/>
      </w:rPr>
      <w:fldChar w:fldCharType="begin"/>
    </w:r>
    <w:r>
      <w:rPr>
        <w:sz w:val="18"/>
        <w:szCs w:val="18"/>
      </w:rPr>
      <w:instrText xml:space="preserve"> PAGE </w:instrText>
    </w:r>
    <w:r>
      <w:rPr>
        <w:sz w:val="18"/>
        <w:szCs w:val="18"/>
      </w:rPr>
      <w:fldChar w:fldCharType="separate"/>
    </w:r>
    <w:r w:rsidR="002209A7">
      <w:rPr>
        <w:noProof/>
        <w:sz w:val="18"/>
        <w:szCs w:val="18"/>
      </w:rPr>
      <w:t>1</w:t>
    </w:r>
    <w:r>
      <w:rPr>
        <w:sz w:val="18"/>
        <w:szCs w:val="18"/>
      </w:rPr>
      <w:fldChar w:fldCharType="end"/>
    </w:r>
  </w:p>
  <w:p w:rsidR="00791071" w:rsidRDefault="002209A7">
    <w:pPr>
      <w:pStyle w:val="Footer"/>
      <w:tabs>
        <w:tab w:val="clear" w:pos="8640"/>
        <w:tab w:val="right" w:pos="8286"/>
      </w:tabs>
      <w:ind w:right="360"/>
    </w:pPr>
    <w:r>
      <w:rPr>
        <w:sz w:val="18"/>
        <w:szCs w:val="18"/>
      </w:rPr>
      <w:t xml:space="preserve">Primary Source Analysis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3171" w:rsidRDefault="00273171">
      <w:r>
        <w:separator/>
      </w:r>
    </w:p>
  </w:footnote>
  <w:footnote w:type="continuationSeparator" w:id="0">
    <w:p w:rsidR="00273171" w:rsidRDefault="0027317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1071"/>
    <w:rsid w:val="002209A7"/>
    <w:rsid w:val="00273171"/>
    <w:rsid w:val="005B610B"/>
    <w:rsid w:val="00791071"/>
    <w:rsid w:val="00950AE7"/>
    <w:rsid w:val="00BC690B"/>
    <w:rsid w:val="00E752D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7FCF7B"/>
  <w15:docId w15:val="{28B8F005-7BE4-47FF-8F63-643A46DBB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AU" w:eastAsia="en-A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paragraph" w:styleId="Heading2">
    <w:name w:val="heading 2"/>
    <w:next w:val="Body"/>
    <w:pPr>
      <w:keepNext/>
      <w:keepLines/>
      <w:spacing w:after="200"/>
      <w:outlineLvl w:val="1"/>
    </w:pPr>
    <w:rPr>
      <w:rFonts w:ascii="Tw Cen MT" w:hAnsi="Tw Cen MT" w:cs="Arial Unicode MS"/>
      <w:color w:val="000000"/>
      <w:sz w:val="40"/>
      <w:szCs w:val="40"/>
      <w:u w:color="000000"/>
      <w:lang w:val="en-US"/>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pPr>
      <w:tabs>
        <w:tab w:val="center" w:pos="4320"/>
        <w:tab w:val="right" w:pos="8640"/>
      </w:tabs>
    </w:pPr>
    <w:rPr>
      <w:rFonts w:ascii="Tw Cen MT" w:hAnsi="Tw Cen MT" w:cs="Arial Unicode MS"/>
      <w:color w:val="000000"/>
      <w:sz w:val="22"/>
      <w:szCs w:val="22"/>
      <w:u w:color="000000"/>
      <w:lang w:val="en-US"/>
    </w:rPr>
  </w:style>
  <w:style w:type="paragraph" w:customStyle="1" w:styleId="Body">
    <w:name w:val="Body"/>
    <w:rPr>
      <w:rFonts w:ascii="Tw Cen MT" w:eastAsia="Tw Cen MT" w:hAnsi="Tw Cen MT" w:cs="Tw Cen MT"/>
      <w:color w:val="000000"/>
      <w:sz w:val="22"/>
      <w:szCs w:val="22"/>
      <w:u w:color="000000"/>
      <w14:textOutline w14:w="0" w14:cap="flat" w14:cmpd="sng" w14:algn="ctr">
        <w14:noFill/>
        <w14:prstDash w14:val="solid"/>
        <w14:bevel/>
      </w14:textOutline>
    </w:rPr>
  </w:style>
  <w:style w:type="paragraph" w:customStyle="1" w:styleId="Default">
    <w:name w:val="Default"/>
    <w:pPr>
      <w:spacing w:before="160"/>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paragraph" w:styleId="Header">
    <w:name w:val="header"/>
    <w:basedOn w:val="Normal"/>
    <w:link w:val="HeaderChar"/>
    <w:uiPriority w:val="99"/>
    <w:unhideWhenUsed/>
    <w:rsid w:val="002209A7"/>
    <w:pPr>
      <w:tabs>
        <w:tab w:val="center" w:pos="4513"/>
        <w:tab w:val="right" w:pos="9026"/>
      </w:tabs>
    </w:pPr>
  </w:style>
  <w:style w:type="character" w:customStyle="1" w:styleId="HeaderChar">
    <w:name w:val="Header Char"/>
    <w:basedOn w:val="DefaultParagraphFont"/>
    <w:link w:val="Header"/>
    <w:uiPriority w:val="99"/>
    <w:rsid w:val="002209A7"/>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72449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The University of Sydney_Color Theme">
  <a:themeElements>
    <a:clrScheme name="The University of Sydney_Color Theme">
      <a:dk1>
        <a:srgbClr val="000000"/>
      </a:dk1>
      <a:lt1>
        <a:srgbClr val="FFFFFF"/>
      </a:lt1>
      <a:dk2>
        <a:srgbClr val="A7A7A7"/>
      </a:dk2>
      <a:lt2>
        <a:srgbClr val="535353"/>
      </a:lt2>
      <a:accent1>
        <a:srgbClr val="E64626"/>
      </a:accent1>
      <a:accent2>
        <a:srgbClr val="EF8025"/>
      </a:accent2>
      <a:accent3>
        <a:srgbClr val="FFB800"/>
      </a:accent3>
      <a:accent4>
        <a:srgbClr val="5C923E"/>
      </a:accent4>
      <a:accent5>
        <a:srgbClr val="5496DB"/>
      </a:accent5>
      <a:accent6>
        <a:srgbClr val="0148A4"/>
      </a:accent6>
      <a:hlink>
        <a:srgbClr val="0000FF"/>
      </a:hlink>
      <a:folHlink>
        <a:srgbClr val="FF00FF"/>
      </a:folHlink>
    </a:clrScheme>
    <a:fontScheme name="The University of Sydney_Color Theme">
      <a:majorFont>
        <a:latin typeface="Helvetica Neue"/>
        <a:ea typeface="Helvetica Neue"/>
        <a:cs typeface="Helvetica Neue"/>
      </a:majorFont>
      <a:minorFont>
        <a:latin typeface="Tw Cen MT"/>
        <a:ea typeface="Tw Cen MT"/>
        <a:cs typeface="Tw Cen MT"/>
      </a:minorFont>
    </a:fontScheme>
    <a:fmtScheme name="The University of Sydney_Color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Arial"/>
            <a:ea typeface="Arial"/>
            <a:cs typeface="Arial"/>
            <a:sym typeface="Arial"/>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Arial"/>
            <a:ea typeface="Arial"/>
            <a:cs typeface="Arial"/>
            <a:sym typeface="Arial"/>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269</Words>
  <Characters>1535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Listening Activity Transcript - The Corso</vt:lpstr>
    </vt:vector>
  </TitlesOfParts>
  <Company>University of Sydney</Company>
  <LinksUpToDate>false</LinksUpToDate>
  <CharactersWithSpaces>1801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Primary Source Anaylsis - Tablet</dc:title>
  <dc:creator>Suzanne Kortlucke</dc:creator>
  <cp:lastModifiedBy>Suzanne Kortlucke</cp:lastModifiedBy>
  <cp:revision>3</cp:revision>
  <dcterms:created xsi:type="dcterms:W3CDTF">2020-07-14T06:29:00Z</dcterms:created>
  <dcterms:modified xsi:type="dcterms:W3CDTF">2020-07-16T02:35:00Z</dcterms:modified>
</cp:coreProperties>
</file>